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82C0B" w14:textId="2BFC0152" w:rsidR="002A7CE2" w:rsidRDefault="00B16731">
      <w:r>
        <w:t>ENC 2025 – AMMRL Users Meeting – Breakout Session – Helium Recovery</w:t>
      </w:r>
    </w:p>
    <w:p w14:paraId="0CDDCE3B" w14:textId="77777777" w:rsidR="00EB72BD" w:rsidRPr="00EB72BD" w:rsidRDefault="00EB72BD" w:rsidP="00EB72BD">
      <w:pPr>
        <w:rPr>
          <w:b/>
          <w:bCs/>
        </w:rPr>
      </w:pPr>
      <w:r w:rsidRPr="00EB72BD">
        <w:rPr>
          <w:b/>
          <w:bCs/>
        </w:rPr>
        <w:t>Site Planning:</w:t>
      </w:r>
    </w:p>
    <w:p w14:paraId="7FEB01D7" w14:textId="2E9B41FB" w:rsidR="00EB72BD" w:rsidRDefault="00EB72BD" w:rsidP="00EB72BD">
      <w:pPr>
        <w:ind w:firstLine="720"/>
      </w:pPr>
      <w:r>
        <w:t xml:space="preserve">There is no simple </w:t>
      </w:r>
      <w:proofErr w:type="spellStart"/>
      <w:r>
        <w:t>plug’n’play</w:t>
      </w:r>
      <w:proofErr w:type="spellEnd"/>
      <w:r>
        <w:t xml:space="preserve"> solution when planning for a new recovery system. Every lab has unique circumstances owing to the architecture, number of magnets, and their positions. Managers should expect to work with vendors to craft a custom plan to fit their own needs. </w:t>
      </w:r>
      <w:r>
        <w:t xml:space="preserve">That plan should consider potential changes within the lab over 5/10/15 year periods. Consequences from </w:t>
      </w:r>
      <w:r w:rsidR="00B479D8">
        <w:t xml:space="preserve">those </w:t>
      </w:r>
      <w:r>
        <w:t>initial instillation choices w</w:t>
      </w:r>
      <w:r w:rsidR="00B479D8">
        <w:t>ould</w:t>
      </w:r>
      <w:r>
        <w:t xml:space="preserve"> likely remain indefinitely.</w:t>
      </w:r>
    </w:p>
    <w:p w14:paraId="7E4FA8FE" w14:textId="153F0C28" w:rsidR="00B16731" w:rsidRDefault="00EB72BD" w:rsidP="00EB72BD">
      <w:pPr>
        <w:ind w:firstLine="720"/>
      </w:pPr>
      <w:r>
        <w:t>Generally</w:t>
      </w:r>
      <w:r w:rsidR="00B479D8">
        <w:t>,</w:t>
      </w:r>
      <w:r>
        <w:t xml:space="preserve"> the more magnets in a lab space the more suitable a full collection + liquefaction system. Costs for installing the connective header piping can cripple the project, need to carefully consider distances and which room(s) will house compressor/purifier/liquefier components. A few recommendations when planning to install a collection header. Put helium check valves on each magnet to isolate them from each other in case of quench. Include additional connection points for more magnet(s) in case the lab has space to expand; it’s unlikely to obtain additional funding for it </w:t>
      </w:r>
      <w:proofErr w:type="gramStart"/>
      <w:r>
        <w:t>later on</w:t>
      </w:r>
      <w:proofErr w:type="gramEnd"/>
      <w:r>
        <w:t xml:space="preserve">. Copper </w:t>
      </w:r>
      <w:r>
        <w:t xml:space="preserve">and </w:t>
      </w:r>
      <w:proofErr w:type="gramStart"/>
      <w:r>
        <w:t>high quality</w:t>
      </w:r>
      <w:proofErr w:type="gramEnd"/>
      <w:r>
        <w:t xml:space="preserve"> steel </w:t>
      </w:r>
      <w:proofErr w:type="gramStart"/>
      <w:r>
        <w:t>are</w:t>
      </w:r>
      <w:proofErr w:type="gramEnd"/>
      <w:r>
        <w:t xml:space="preserve"> both appropriate materials, opinions are mixed over which is preferable.</w:t>
      </w:r>
    </w:p>
    <w:p w14:paraId="61F87096" w14:textId="37741DD9" w:rsidR="00B16731" w:rsidRPr="00EB72BD" w:rsidRDefault="00B16731">
      <w:pPr>
        <w:rPr>
          <w:b/>
          <w:bCs/>
        </w:rPr>
      </w:pPr>
      <w:r w:rsidRPr="00EB72BD">
        <w:rPr>
          <w:b/>
          <w:bCs/>
        </w:rPr>
        <w:t>Vendors:</w:t>
      </w:r>
    </w:p>
    <w:p w14:paraId="31617775" w14:textId="163CEE91" w:rsidR="00B16731" w:rsidRDefault="00B16731" w:rsidP="00EB72BD">
      <w:pPr>
        <w:ind w:firstLine="720"/>
      </w:pPr>
      <w:r>
        <w:t>Three major companies mentioned</w:t>
      </w:r>
      <w:r w:rsidR="00265A1F">
        <w:t>.</w:t>
      </w:r>
      <w:r>
        <w:t xml:space="preserve"> Quantum Design, Quantum Technologies, and Bluefors. Quantum Design is maintaining service of existing systems but has apparently stopped selling new ones. It’s unclear whether this is temporary or if they’re planning a market exit. Quantum Technologies seemed to be the </w:t>
      </w:r>
      <w:proofErr w:type="gramStart"/>
      <w:r>
        <w:t>most commonly used</w:t>
      </w:r>
      <w:proofErr w:type="gramEnd"/>
      <w:r>
        <w:t xml:space="preserve"> vendor. Opinions were mixed. General sentiment is that once operational the systems run </w:t>
      </w:r>
      <w:proofErr w:type="gramStart"/>
      <w:r>
        <w:t>fairly well</w:t>
      </w:r>
      <w:proofErr w:type="gramEnd"/>
      <w:r>
        <w:t xml:space="preserve"> with few complaints, </w:t>
      </w:r>
      <w:proofErr w:type="gramStart"/>
      <w:r>
        <w:t>but,</w:t>
      </w:r>
      <w:proofErr w:type="gramEnd"/>
      <w:r>
        <w:t xml:space="preserve"> their quality assurance is </w:t>
      </w:r>
      <w:proofErr w:type="gramStart"/>
      <w:r>
        <w:t>poor</w:t>
      </w:r>
      <w:proofErr w:type="gramEnd"/>
      <w:r>
        <w:t xml:space="preserve"> and the initial </w:t>
      </w:r>
      <w:proofErr w:type="gramStart"/>
      <w:r>
        <w:t>setup</w:t>
      </w:r>
      <w:proofErr w:type="gramEnd"/>
      <w:r>
        <w:t xml:space="preserve"> and installation phases are strenuous. Bluefors [previously </w:t>
      </w:r>
      <w:proofErr w:type="spellStart"/>
      <w:r>
        <w:t>Cryomag</w:t>
      </w:r>
      <w:proofErr w:type="spellEnd"/>
      <w:r>
        <w:t>(</w:t>
      </w:r>
      <w:proofErr w:type="spellStart"/>
      <w:r>
        <w:t>sp</w:t>
      </w:r>
      <w:proofErr w:type="spellEnd"/>
      <w:r>
        <w:t xml:space="preserve">?)] is an active competitor. Unfortunately, no one present had one of their </w:t>
      </w:r>
      <w:proofErr w:type="gramStart"/>
      <w:r>
        <w:t>systems</w:t>
      </w:r>
      <w:proofErr w:type="gramEnd"/>
      <w:r>
        <w:t xml:space="preserve"> so we only knew marketing pitch details from the vendor booth. Bruker was mentioned as having a prohibitively expensive closed-loop recovery option.</w:t>
      </w:r>
    </w:p>
    <w:p w14:paraId="61D62E89" w14:textId="1D4E147D" w:rsidR="00B16731" w:rsidRPr="00EB72BD" w:rsidRDefault="00B16731">
      <w:pPr>
        <w:rPr>
          <w:b/>
          <w:bCs/>
        </w:rPr>
      </w:pPr>
      <w:r w:rsidRPr="00EB72BD">
        <w:rPr>
          <w:b/>
          <w:bCs/>
        </w:rPr>
        <w:t>Recovery Systems:</w:t>
      </w:r>
    </w:p>
    <w:p w14:paraId="1AB12D16" w14:textId="1A1B6B47" w:rsidR="00265A1F" w:rsidRDefault="00B16731" w:rsidP="00EB72BD">
      <w:pPr>
        <w:ind w:firstLine="720"/>
      </w:pPr>
      <w:r>
        <w:t xml:space="preserve">Closed loop systems operate at an alleged 99+% efficiency. They only service a single </w:t>
      </w:r>
      <w:proofErr w:type="gramStart"/>
      <w:r>
        <w:t>magnet, but</w:t>
      </w:r>
      <w:proofErr w:type="gramEnd"/>
      <w:r>
        <w:t xml:space="preserve"> can be financially preferable for labs with fewer magnets. They have specific floor space and ceiling requirements immediately adjacent to the magnet. Bluefors has a fixed design that needs 45” of free height above the helium fill port. </w:t>
      </w:r>
    </w:p>
    <w:p w14:paraId="3458709E" w14:textId="6B6094A9" w:rsidR="00B16731" w:rsidRDefault="00B16731" w:rsidP="00EB72BD">
      <w:pPr>
        <w:ind w:firstLine="720"/>
      </w:pPr>
      <w:r>
        <w:lastRenderedPageBreak/>
        <w:t xml:space="preserve">Gas collection can occur standalone or alongside liquefaction. Working separately typically involves multiple buildings/sites and requires a plan for transporting collected </w:t>
      </w:r>
      <w:proofErr w:type="gramStart"/>
      <w:r>
        <w:t>gas</w:t>
      </w:r>
      <w:r w:rsidR="00EB72BD">
        <w:t xml:space="preserve"> </w:t>
      </w:r>
      <w:r>
        <w:t xml:space="preserve"> to</w:t>
      </w:r>
      <w:proofErr w:type="gramEnd"/>
      <w:r>
        <w:t xml:space="preserve"> liquefaction. Initial gas storage can use either medium pressure tanks or a “bag”. Both </w:t>
      </w:r>
      <w:proofErr w:type="gramStart"/>
      <w:r>
        <w:t>take</w:t>
      </w:r>
      <w:proofErr w:type="gramEnd"/>
      <w:r>
        <w:t xml:space="preserve"> considerable space, though bags can be elevated into otherwise unused areas. All devices bring along some additional support requirement such as: increased electrical usage, chilled water systems, weekly nitrogen filling, and cold head maintenance.</w:t>
      </w:r>
      <w:r w:rsidR="00D52623">
        <w:t xml:space="preserve"> Lapses in oversight or improper equipment use can jeopardize the magnet.</w:t>
      </w:r>
      <w:r w:rsidR="00D52623" w:rsidRPr="00D52623">
        <w:t xml:space="preserve"> </w:t>
      </w:r>
      <w:r w:rsidR="00D52623">
        <w:t xml:space="preserve">Most said responsibility for maintaining and operating the system fell to whoever </w:t>
      </w:r>
      <w:r w:rsidR="004B4F16">
        <w:t xml:space="preserve">first </w:t>
      </w:r>
      <w:r w:rsidR="00D52623">
        <w:t>brought it into the lab. The time commitment is not trivial</w:t>
      </w:r>
      <w:r w:rsidR="004B4F16">
        <w:t>, having additional staff involved can help greatly.</w:t>
      </w:r>
    </w:p>
    <w:p w14:paraId="470129D0" w14:textId="017BE543" w:rsidR="00B16731" w:rsidRPr="00EB72BD" w:rsidRDefault="00B16731">
      <w:pPr>
        <w:rPr>
          <w:b/>
          <w:bCs/>
        </w:rPr>
      </w:pPr>
      <w:r w:rsidRPr="00EB72BD">
        <w:rPr>
          <w:b/>
          <w:bCs/>
        </w:rPr>
        <w:t>Percent Recovery:</w:t>
      </w:r>
    </w:p>
    <w:p w14:paraId="760E22E7" w14:textId="59D728C0" w:rsidR="00B16731" w:rsidRDefault="00B16731">
      <w:r>
        <w:t xml:space="preserve">Most reported approximately 80% recovery. </w:t>
      </w:r>
      <w:r w:rsidR="00C37632">
        <w:t>Achieving over 90% is less common though doable. Anecdotes suggest it requires meticulous attention to carefully eliminate all leaks and minimize losses. For example: o</w:t>
      </w:r>
      <w:r w:rsidR="00C37632">
        <w:t>ne group had a technique/design which could recover gas otherwise lost when cooling the transfer line during fills. This helped them reach a 93-95% recovery.</w:t>
      </w:r>
      <w:r w:rsidR="00C37632">
        <w:t xml:space="preserve"> At the other extreme one group </w:t>
      </w:r>
      <w:r>
        <w:t xml:space="preserve">only had 50%, </w:t>
      </w:r>
      <w:r w:rsidR="00C37632">
        <w:t xml:space="preserve">which was </w:t>
      </w:r>
      <w:r>
        <w:t xml:space="preserve">attributed to </w:t>
      </w:r>
      <w:proofErr w:type="gramStart"/>
      <w:r w:rsidR="00C37632">
        <w:t>use</w:t>
      </w:r>
      <w:proofErr w:type="gramEnd"/>
      <w:r w:rsidR="00C37632">
        <w:t xml:space="preserve"> of plastic materials for connective tubing and valves. </w:t>
      </w:r>
      <w:r>
        <w:t>Considerable efforts were made to identify the leak(s) but found little success.</w:t>
      </w:r>
    </w:p>
    <w:p w14:paraId="66BA5BA9" w14:textId="28E42190" w:rsidR="00B16731" w:rsidRPr="00C37632" w:rsidRDefault="00B16731">
      <w:pPr>
        <w:rPr>
          <w:b/>
          <w:bCs/>
        </w:rPr>
      </w:pPr>
      <w:r w:rsidRPr="00C37632">
        <w:rPr>
          <w:b/>
          <w:bCs/>
        </w:rPr>
        <w:t>Shared Equipment:</w:t>
      </w:r>
    </w:p>
    <w:p w14:paraId="371EE2F7" w14:textId="4AF7B9E4" w:rsidR="00B16731" w:rsidRDefault="00B16731">
      <w:r>
        <w:t>Normal for multiple labs to have gas collection and then share a liquefier. Physics departments are high helium consumers. One group had concerns that their Physics department would abandon their communal arrangement, and the remaining small customers could not financially sustain the recovery system on their own.</w:t>
      </w:r>
    </w:p>
    <w:sectPr w:rsidR="00B16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31"/>
    <w:rsid w:val="00073015"/>
    <w:rsid w:val="001F2902"/>
    <w:rsid w:val="00265A1F"/>
    <w:rsid w:val="002A7CE2"/>
    <w:rsid w:val="00427DA8"/>
    <w:rsid w:val="004B4F16"/>
    <w:rsid w:val="00B16731"/>
    <w:rsid w:val="00B479D8"/>
    <w:rsid w:val="00C37632"/>
    <w:rsid w:val="00D52623"/>
    <w:rsid w:val="00EB72BD"/>
    <w:rsid w:val="00F2337B"/>
    <w:rsid w:val="00FC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3577C"/>
  <w15:chartTrackingRefBased/>
  <w15:docId w15:val="{2AAF3CE8-EAB3-40CD-ADD0-5BEE795A3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7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7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7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7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7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7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7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7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7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7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7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7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7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7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7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7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7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731"/>
    <w:rPr>
      <w:rFonts w:eastAsiaTheme="majorEastAsia" w:cstheme="majorBidi"/>
      <w:color w:val="272727" w:themeColor="text1" w:themeTint="D8"/>
    </w:rPr>
  </w:style>
  <w:style w:type="paragraph" w:styleId="Title">
    <w:name w:val="Title"/>
    <w:basedOn w:val="Normal"/>
    <w:next w:val="Normal"/>
    <w:link w:val="TitleChar"/>
    <w:uiPriority w:val="10"/>
    <w:qFormat/>
    <w:rsid w:val="00B16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7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7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7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731"/>
    <w:pPr>
      <w:spacing w:before="160"/>
      <w:jc w:val="center"/>
    </w:pPr>
    <w:rPr>
      <w:i/>
      <w:iCs/>
      <w:color w:val="404040" w:themeColor="text1" w:themeTint="BF"/>
    </w:rPr>
  </w:style>
  <w:style w:type="character" w:customStyle="1" w:styleId="QuoteChar">
    <w:name w:val="Quote Char"/>
    <w:basedOn w:val="DefaultParagraphFont"/>
    <w:link w:val="Quote"/>
    <w:uiPriority w:val="29"/>
    <w:rsid w:val="00B16731"/>
    <w:rPr>
      <w:i/>
      <w:iCs/>
      <w:color w:val="404040" w:themeColor="text1" w:themeTint="BF"/>
    </w:rPr>
  </w:style>
  <w:style w:type="paragraph" w:styleId="ListParagraph">
    <w:name w:val="List Paragraph"/>
    <w:basedOn w:val="Normal"/>
    <w:uiPriority w:val="34"/>
    <w:qFormat/>
    <w:rsid w:val="00B16731"/>
    <w:pPr>
      <w:ind w:left="720"/>
      <w:contextualSpacing/>
    </w:pPr>
  </w:style>
  <w:style w:type="character" w:styleId="IntenseEmphasis">
    <w:name w:val="Intense Emphasis"/>
    <w:basedOn w:val="DefaultParagraphFont"/>
    <w:uiPriority w:val="21"/>
    <w:qFormat/>
    <w:rsid w:val="00B16731"/>
    <w:rPr>
      <w:i/>
      <w:iCs/>
      <w:color w:val="0F4761" w:themeColor="accent1" w:themeShade="BF"/>
    </w:rPr>
  </w:style>
  <w:style w:type="paragraph" w:styleId="IntenseQuote">
    <w:name w:val="Intense Quote"/>
    <w:basedOn w:val="Normal"/>
    <w:next w:val="Normal"/>
    <w:link w:val="IntenseQuoteChar"/>
    <w:uiPriority w:val="30"/>
    <w:qFormat/>
    <w:rsid w:val="00B167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731"/>
    <w:rPr>
      <w:i/>
      <w:iCs/>
      <w:color w:val="0F4761" w:themeColor="accent1" w:themeShade="BF"/>
    </w:rPr>
  </w:style>
  <w:style w:type="character" w:styleId="IntenseReference">
    <w:name w:val="Intense Reference"/>
    <w:basedOn w:val="DefaultParagraphFont"/>
    <w:uiPriority w:val="32"/>
    <w:qFormat/>
    <w:rsid w:val="00B167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10634</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Luke</dc:creator>
  <cp:keywords/>
  <dc:description/>
  <cp:lastModifiedBy>Fulton, Luke</cp:lastModifiedBy>
  <cp:revision>6</cp:revision>
  <dcterms:created xsi:type="dcterms:W3CDTF">2025-04-08T04:17:00Z</dcterms:created>
  <dcterms:modified xsi:type="dcterms:W3CDTF">2025-04-18T17:28:00Z</dcterms:modified>
</cp:coreProperties>
</file>